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546FE4EF" w:rsidR="009760FC" w:rsidRDefault="009760FC" w:rsidP="009760FC">
      <w:pPr>
        <w:pStyle w:val="3GPPHeader"/>
        <w:spacing w:after="60"/>
        <w:rPr>
          <w:sz w:val="32"/>
          <w:szCs w:val="32"/>
          <w:highlight w:val="yellow"/>
        </w:rPr>
      </w:pPr>
      <w:r>
        <w:rPr>
          <w:lang w:val="en-US"/>
        </w:rPr>
        <w:t>3GPP TSG-RAN WG2 #10</w:t>
      </w:r>
      <w:r w:rsidR="0057051B">
        <w:rPr>
          <w:lang w:val="en-US"/>
        </w:rPr>
        <w:t>5</w:t>
      </w:r>
      <w:r>
        <w:tab/>
      </w:r>
      <w:r>
        <w:rPr>
          <w:sz w:val="32"/>
          <w:szCs w:val="32"/>
        </w:rPr>
        <w:t xml:space="preserve"> </w:t>
      </w:r>
      <w:r w:rsidR="0057051B">
        <w:rPr>
          <w:sz w:val="32"/>
          <w:szCs w:val="32"/>
        </w:rPr>
        <w:t>R2-1</w:t>
      </w:r>
      <w:r w:rsidR="00716568">
        <w:rPr>
          <w:sz w:val="32"/>
          <w:szCs w:val="32"/>
        </w:rPr>
        <w:t>901749</w:t>
      </w:r>
      <w:bookmarkStart w:id="0" w:name="_GoBack"/>
      <w:bookmarkEnd w:id="0"/>
    </w:p>
    <w:p w14:paraId="5E88A5F8" w14:textId="5A18B409" w:rsidR="006255E7" w:rsidRDefault="00161662" w:rsidP="009760FC">
      <w:pPr>
        <w:pStyle w:val="CRCoverPage"/>
        <w:jc w:val="both"/>
        <w:outlineLvl w:val="0"/>
        <w:rPr>
          <w:b/>
          <w:noProof/>
          <w:sz w:val="24"/>
        </w:rPr>
      </w:pPr>
      <w:r w:rsidRPr="00ED5BA0">
        <w:rPr>
          <w:b/>
          <w:noProof/>
          <w:sz w:val="24"/>
        </w:rPr>
        <w:t>Athens</w:t>
      </w:r>
      <w:r w:rsidR="009760FC" w:rsidRPr="00ED5BA0">
        <w:rPr>
          <w:b/>
          <w:noProof/>
          <w:sz w:val="24"/>
        </w:rPr>
        <w:t xml:space="preserve">, </w:t>
      </w:r>
      <w:r w:rsidRPr="00ED5BA0">
        <w:rPr>
          <w:b/>
          <w:noProof/>
          <w:sz w:val="24"/>
        </w:rPr>
        <w:t>Greece</w:t>
      </w:r>
      <w:r w:rsidR="009760FC" w:rsidRPr="00ED5BA0">
        <w:rPr>
          <w:b/>
          <w:noProof/>
          <w:sz w:val="24"/>
        </w:rPr>
        <w:t>, 2</w:t>
      </w:r>
      <w:r w:rsidRPr="00ED5BA0">
        <w:rPr>
          <w:b/>
          <w:noProof/>
          <w:sz w:val="24"/>
        </w:rPr>
        <w:t>5</w:t>
      </w:r>
      <w:r w:rsidR="009760FC" w:rsidRPr="00ED5BA0">
        <w:rPr>
          <w:b/>
          <w:noProof/>
          <w:sz w:val="24"/>
          <w:vertAlign w:val="superscript"/>
        </w:rPr>
        <w:t>th</w:t>
      </w:r>
      <w:r w:rsidR="009760FC" w:rsidRPr="00ED5BA0">
        <w:rPr>
          <w:b/>
          <w:noProof/>
          <w:sz w:val="24"/>
        </w:rPr>
        <w:t xml:space="preserve"> </w:t>
      </w:r>
      <w:r w:rsidRPr="00ED5BA0">
        <w:rPr>
          <w:b/>
          <w:noProof/>
          <w:sz w:val="24"/>
        </w:rPr>
        <w:t xml:space="preserve">Februrary </w:t>
      </w:r>
      <w:r w:rsidR="009760FC" w:rsidRPr="00ED5BA0">
        <w:rPr>
          <w:b/>
          <w:noProof/>
          <w:sz w:val="24"/>
        </w:rPr>
        <w:t>– 1</w:t>
      </w:r>
      <w:r w:rsidRPr="00ED5BA0">
        <w:rPr>
          <w:b/>
          <w:noProof/>
          <w:sz w:val="24"/>
          <w:vertAlign w:val="superscript"/>
        </w:rPr>
        <w:t>st</w:t>
      </w:r>
      <w:r w:rsidRPr="00ED5BA0">
        <w:rPr>
          <w:b/>
          <w:noProof/>
          <w:sz w:val="24"/>
        </w:rPr>
        <w:t xml:space="preserve"> March</w:t>
      </w:r>
      <w:r w:rsidR="009760FC" w:rsidRPr="00ED5BA0">
        <w:rPr>
          <w:b/>
          <w:noProof/>
          <w:sz w:val="24"/>
        </w:rPr>
        <w:t xml:space="preserve"> 201</w:t>
      </w:r>
      <w:r w:rsidR="00222A43">
        <w:rPr>
          <w:b/>
          <w:noProof/>
          <w:sz w:val="24"/>
        </w:rPr>
        <w:t>9</w:t>
      </w:r>
      <w:r w:rsidR="00C86EE5">
        <w:rPr>
          <w:b/>
          <w:noProof/>
          <w:sz w:val="24"/>
        </w:rPr>
        <w:tab/>
      </w:r>
      <w:r w:rsidR="002F3CAE">
        <w:rPr>
          <w:b/>
          <w:noProof/>
          <w:sz w:val="24"/>
        </w:rPr>
        <w:tab/>
      </w:r>
      <w:r w:rsidR="002F3CAE">
        <w:rPr>
          <w:b/>
          <w:noProof/>
          <w:sz w:val="24"/>
        </w:rPr>
        <w:tab/>
        <w:t xml:space="preserve">  Revision of R2-1817971</w:t>
      </w:r>
    </w:p>
    <w:p w14:paraId="3B540F75" w14:textId="77777777" w:rsidR="00E90E49" w:rsidRPr="00CE0424" w:rsidRDefault="00E90E49" w:rsidP="00357380">
      <w:pPr>
        <w:pStyle w:val="3GPPHeader"/>
      </w:pPr>
    </w:p>
    <w:p w14:paraId="22E1D8B8" w14:textId="390E4644" w:rsidR="00E90E49" w:rsidRPr="00DC0E73" w:rsidRDefault="00E90E49" w:rsidP="00311702">
      <w:pPr>
        <w:pStyle w:val="3GPPHeader"/>
        <w:rPr>
          <w:sz w:val="22"/>
          <w:szCs w:val="22"/>
        </w:rPr>
      </w:pPr>
      <w:r w:rsidRPr="00DC0E73">
        <w:rPr>
          <w:sz w:val="22"/>
          <w:szCs w:val="22"/>
        </w:rPr>
        <w:t>Agenda Item:</w:t>
      </w:r>
      <w:r w:rsidRPr="00DC0E73">
        <w:rPr>
          <w:sz w:val="22"/>
          <w:szCs w:val="22"/>
        </w:rPr>
        <w:tab/>
      </w:r>
      <w:r w:rsidR="00CD34C6" w:rsidRPr="00DC0E73">
        <w:rPr>
          <w:sz w:val="22"/>
          <w:szCs w:val="22"/>
        </w:rPr>
        <w:t>11.2.2.1</w:t>
      </w:r>
    </w:p>
    <w:p w14:paraId="4D43BCD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FA40C" w14:textId="4DB3A5C8" w:rsidR="00E90E49" w:rsidRPr="00CE0424" w:rsidRDefault="003D3C45" w:rsidP="00311702">
      <w:pPr>
        <w:pStyle w:val="3GPPHeader"/>
        <w:rPr>
          <w:sz w:val="22"/>
          <w:szCs w:val="22"/>
        </w:rPr>
      </w:pPr>
      <w:r>
        <w:rPr>
          <w:sz w:val="22"/>
          <w:szCs w:val="22"/>
        </w:rPr>
        <w:t>Title:</w:t>
      </w:r>
      <w:r w:rsidR="00E90E49" w:rsidRPr="00CE0424">
        <w:rPr>
          <w:sz w:val="22"/>
          <w:szCs w:val="22"/>
        </w:rPr>
        <w:tab/>
      </w:r>
      <w:r w:rsidR="00F06DC2">
        <w:rPr>
          <w:sz w:val="22"/>
          <w:szCs w:val="22"/>
        </w:rPr>
        <w:t>Managing PCI collision</w:t>
      </w:r>
      <w:r w:rsidR="00A71B76" w:rsidRPr="00A71B76">
        <w:rPr>
          <w:sz w:val="22"/>
          <w:szCs w:val="22"/>
        </w:rPr>
        <w:t>s in NR-U</w:t>
      </w:r>
    </w:p>
    <w:p w14:paraId="7F353F7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86EE5">
        <w:rPr>
          <w:sz w:val="22"/>
          <w:szCs w:val="22"/>
        </w:rPr>
        <w:t>Discussion, Decision</w:t>
      </w:r>
    </w:p>
    <w:p w14:paraId="14E4DA44" w14:textId="77777777" w:rsidR="00E90E49" w:rsidRPr="00CE0424" w:rsidRDefault="00230D18" w:rsidP="00CE0424">
      <w:pPr>
        <w:pStyle w:val="Heading1"/>
      </w:pPr>
      <w:r>
        <w:t>1</w:t>
      </w:r>
      <w:r>
        <w:tab/>
      </w:r>
      <w:r w:rsidR="00E90E49" w:rsidRPr="00CE0424">
        <w:t>Introduction</w:t>
      </w:r>
    </w:p>
    <w:p w14:paraId="0FDCB57F" w14:textId="043B5DAF" w:rsidR="00C86EE5" w:rsidRDefault="00631B1F" w:rsidP="00C86EE5">
      <w:pPr>
        <w:pStyle w:val="BodyText"/>
      </w:pPr>
      <w:r w:rsidRPr="00631B1F">
        <w:t xml:space="preserve">PCI collisions, i.e. different cells using the same PCI in a local area, are known to cause problems and should be avoided. </w:t>
      </w:r>
      <w:r w:rsidR="001C772F">
        <w:t>Mechanisms that may be used for</w:t>
      </w:r>
      <w:r w:rsidR="006B1024">
        <w:t xml:space="preserve"> this</w:t>
      </w:r>
      <w:r w:rsidR="001C772F">
        <w:t xml:space="preserve"> purpose in</w:t>
      </w:r>
      <w:r w:rsidRPr="00631B1F">
        <w:t xml:space="preserve"> NR-U are discussed in this document.</w:t>
      </w:r>
    </w:p>
    <w:p w14:paraId="5D0E3B2A" w14:textId="29F4C528" w:rsidR="004000E8" w:rsidRDefault="00230D18" w:rsidP="00CE0424">
      <w:pPr>
        <w:pStyle w:val="Heading1"/>
      </w:pPr>
      <w:bookmarkStart w:id="1" w:name="_Ref178064866"/>
      <w:r>
        <w:t>2</w:t>
      </w:r>
      <w:r>
        <w:tab/>
      </w:r>
      <w:r w:rsidR="004000E8" w:rsidRPr="00CE0424">
        <w:t>Discussion</w:t>
      </w:r>
      <w:bookmarkEnd w:id="1"/>
    </w:p>
    <w:p w14:paraId="194C16B8" w14:textId="170D6C7F" w:rsidR="008215E7" w:rsidRDefault="00631B1F" w:rsidP="0012239C">
      <w:pPr>
        <w:rPr>
          <w:rFonts w:ascii="Arial" w:hAnsi="Arial" w:cs="Arial"/>
        </w:rPr>
      </w:pPr>
      <w:r w:rsidRPr="00631B1F">
        <w:rPr>
          <w:rFonts w:ascii="Arial" w:hAnsi="Arial" w:cs="Arial"/>
        </w:rPr>
        <w:t xml:space="preserve">As stated above, PCI collisions are known to cause problems, such as handover failure, and means should be provided to avoid or eliminate them. Such means could include means for detection and resolution of PCI collisions. To resolve a PCI collision one of the colliding cells </w:t>
      </w:r>
      <w:r w:rsidR="00046684">
        <w:rPr>
          <w:rFonts w:ascii="Arial" w:hAnsi="Arial" w:cs="Arial"/>
        </w:rPr>
        <w:t>must</w:t>
      </w:r>
      <w:r w:rsidRPr="00631B1F">
        <w:rPr>
          <w:rFonts w:ascii="Arial" w:hAnsi="Arial" w:cs="Arial"/>
        </w:rPr>
        <w:t xml:space="preserve"> change its PCI. Change of PCI implies disturbance of the operation of the cell, hence it should be avoided that both the colliding cells change their PCI.</w:t>
      </w:r>
    </w:p>
    <w:p w14:paraId="4DC9F94A" w14:textId="372B3617" w:rsidR="00631B1F" w:rsidRDefault="00631B1F" w:rsidP="00631B1F">
      <w:pPr>
        <w:pStyle w:val="Observation"/>
      </w:pPr>
      <w:bookmarkStart w:id="2" w:name="_Toc1077540"/>
      <w:r>
        <w:t>PCI conflicts are harmful and means should be provided to avoid or eliminate them.</w:t>
      </w:r>
      <w:bookmarkEnd w:id="2"/>
    </w:p>
    <w:p w14:paraId="586D7289" w14:textId="5C5B41DC" w:rsidR="00631B1F" w:rsidRDefault="00631B1F" w:rsidP="00631B1F">
      <w:pPr>
        <w:pStyle w:val="Observation"/>
      </w:pPr>
      <w:bookmarkStart w:id="3" w:name="_Toc1077541"/>
      <w:r>
        <w:t>Coordination of PCI collision resolution is beneficial to avoid that both conflicting cells change PCI.</w:t>
      </w:r>
      <w:bookmarkEnd w:id="3"/>
    </w:p>
    <w:p w14:paraId="3617E571" w14:textId="1B7C5EEA" w:rsidR="00631B1F" w:rsidRDefault="00805356" w:rsidP="0012239C">
      <w:pPr>
        <w:rPr>
          <w:rFonts w:ascii="Arial" w:hAnsi="Arial" w:cs="Arial"/>
        </w:rPr>
      </w:pPr>
      <w:r w:rsidRPr="00805356">
        <w:rPr>
          <w:rFonts w:ascii="Arial" w:hAnsi="Arial" w:cs="Arial"/>
        </w:rPr>
        <w:t>Detection and resolution of PCI collisions have previously (in LTE) been handled by a combination of distributed and centralized SON mechanisms, involving UEs, neighbo</w:t>
      </w:r>
      <w:r>
        <w:rPr>
          <w:rFonts w:ascii="Arial" w:hAnsi="Arial" w:cs="Arial"/>
        </w:rPr>
        <w:t>u</w:t>
      </w:r>
      <w:r w:rsidRPr="00805356">
        <w:rPr>
          <w:rFonts w:ascii="Arial" w:hAnsi="Arial" w:cs="Arial"/>
        </w:rPr>
        <w:t xml:space="preserve">r </w:t>
      </w:r>
      <w:r>
        <w:rPr>
          <w:rFonts w:ascii="Arial" w:hAnsi="Arial" w:cs="Arial"/>
        </w:rPr>
        <w:t>base stations</w:t>
      </w:r>
      <w:r w:rsidRPr="00805356">
        <w:rPr>
          <w:rFonts w:ascii="Arial" w:hAnsi="Arial" w:cs="Arial"/>
        </w:rPr>
        <w:t xml:space="preserve"> and the O&amp;M system</w:t>
      </w:r>
      <w:r>
        <w:rPr>
          <w:rFonts w:ascii="Arial" w:hAnsi="Arial" w:cs="Arial"/>
        </w:rPr>
        <w:t>. This can be used as a baseline in NR-U too.</w:t>
      </w:r>
      <w:r w:rsidR="00B05BC7">
        <w:rPr>
          <w:rFonts w:ascii="Arial" w:hAnsi="Arial" w:cs="Arial"/>
        </w:rPr>
        <w:t xml:space="preserve"> </w:t>
      </w:r>
      <w:r w:rsidR="00B84493">
        <w:rPr>
          <w:rFonts w:ascii="Arial" w:hAnsi="Arial" w:cs="Arial"/>
        </w:rPr>
        <w:t>Section 7.2.2.3.1 in TR 38.889 also states:</w:t>
      </w:r>
    </w:p>
    <w:p w14:paraId="0D520742" w14:textId="78871DC7" w:rsidR="00B84493" w:rsidRPr="00B84493" w:rsidRDefault="00B84493" w:rsidP="0012239C">
      <w:pPr>
        <w:rPr>
          <w:lang w:eastAsia="x-none"/>
        </w:rPr>
      </w:pPr>
      <w:r>
        <w:rPr>
          <w:rFonts w:ascii="Arial" w:hAnsi="Arial" w:cs="Arial"/>
        </w:rPr>
        <w:t>“</w:t>
      </w:r>
      <w:r w:rsidRPr="00723A57">
        <w:rPr>
          <w:i/>
          <w:color w:val="2F5496" w:themeColor="accent1" w:themeShade="BF"/>
          <w:lang w:eastAsia="x-none"/>
        </w:rPr>
        <w:t xml:space="preserve">In unlicensed spectrum, multiple PLMNs from different operators can share the same channel and coordination between different operators may not happen. This may cause PCI collisions or confusion. As one possible solution, the </w:t>
      </w:r>
      <w:proofErr w:type="spellStart"/>
      <w:r w:rsidRPr="00723A57">
        <w:rPr>
          <w:i/>
          <w:color w:val="2F5496" w:themeColor="accent1" w:themeShade="BF"/>
          <w:lang w:eastAsia="x-none"/>
        </w:rPr>
        <w:t>gNBs</w:t>
      </w:r>
      <w:proofErr w:type="spellEnd"/>
      <w:r w:rsidRPr="00723A57">
        <w:rPr>
          <w:i/>
          <w:color w:val="2F5496" w:themeColor="accent1" w:themeShade="BF"/>
          <w:lang w:eastAsia="x-none"/>
        </w:rPr>
        <w:t xml:space="preserve"> can scan different frequencies to identify the PCIs of neighbour cells and use this information in setting the PCIs of their own cells in order to avoid PCI collisions. In addition, ANR can be used, as in NR licensed, to detect and solve PCI collision and confusion.</w:t>
      </w:r>
      <w:r>
        <w:rPr>
          <w:rFonts w:ascii="Arial" w:hAnsi="Arial" w:cs="Arial"/>
        </w:rPr>
        <w:t>”</w:t>
      </w:r>
    </w:p>
    <w:p w14:paraId="2E942811" w14:textId="09B2B1E8" w:rsidR="00FE4B18" w:rsidRDefault="00FE4B18" w:rsidP="00FE4B18">
      <w:pPr>
        <w:pStyle w:val="Observation"/>
      </w:pPr>
      <w:bookmarkStart w:id="4" w:name="_Toc1077542"/>
      <w:r>
        <w:t>The combination of distributed and centralized SON mechanisms used in LTE can be used as baseline for NR-U</w:t>
      </w:r>
      <w:r w:rsidR="00723A57">
        <w:t xml:space="preserve"> together with </w:t>
      </w:r>
      <w:proofErr w:type="spellStart"/>
      <w:r w:rsidR="00723A57">
        <w:t>gNBs</w:t>
      </w:r>
      <w:proofErr w:type="spellEnd"/>
      <w:r w:rsidR="00723A57">
        <w:t xml:space="preserve"> scanning </w:t>
      </w:r>
      <w:r w:rsidR="009E434B">
        <w:t>for conflicting PCIs of neighbouring PCIs</w:t>
      </w:r>
      <w:r>
        <w:t>.</w:t>
      </w:r>
      <w:bookmarkEnd w:id="4"/>
    </w:p>
    <w:p w14:paraId="297CAA37" w14:textId="165F2929" w:rsidR="00805356" w:rsidRDefault="00805356" w:rsidP="0012239C">
      <w:pPr>
        <w:rPr>
          <w:rFonts w:ascii="Arial" w:hAnsi="Arial" w:cs="Arial"/>
        </w:rPr>
      </w:pPr>
      <w:r>
        <w:rPr>
          <w:rFonts w:ascii="Arial" w:hAnsi="Arial" w:cs="Arial"/>
        </w:rPr>
        <w:t xml:space="preserve">Hence, observation </w:t>
      </w:r>
      <w:r w:rsidRPr="00805356">
        <w:rPr>
          <w:rFonts w:ascii="Arial" w:hAnsi="Arial" w:cs="Arial"/>
        </w:rPr>
        <w:t>of (repeated) handover failures can be used to detect the probable presence of conflicting PCIs. The</w:t>
      </w:r>
      <w:r w:rsidR="0074141A">
        <w:rPr>
          <w:rFonts w:ascii="Arial" w:hAnsi="Arial" w:cs="Arial"/>
        </w:rPr>
        <w:t>n the</w:t>
      </w:r>
      <w:r w:rsidRPr="00805356">
        <w:rPr>
          <w:rFonts w:ascii="Arial" w:hAnsi="Arial" w:cs="Arial"/>
        </w:rPr>
        <w:t xml:space="preserve"> ANR framework for requesting UEs to report relevant system information parameters, such as the global cell identity, of a cell can be used to confirm PCI conflicts. Neighbo</w:t>
      </w:r>
      <w:r>
        <w:rPr>
          <w:rFonts w:ascii="Arial" w:hAnsi="Arial" w:cs="Arial"/>
        </w:rPr>
        <w:t>u</w:t>
      </w:r>
      <w:r w:rsidRPr="00805356">
        <w:rPr>
          <w:rFonts w:ascii="Arial" w:hAnsi="Arial" w:cs="Arial"/>
        </w:rPr>
        <w:t xml:space="preserve">r </w:t>
      </w:r>
      <w:proofErr w:type="spellStart"/>
      <w:r w:rsidRPr="00805356">
        <w:rPr>
          <w:rFonts w:ascii="Arial" w:hAnsi="Arial" w:cs="Arial"/>
        </w:rPr>
        <w:t>gNBs</w:t>
      </w:r>
      <w:proofErr w:type="spellEnd"/>
      <w:r w:rsidRPr="00805356">
        <w:rPr>
          <w:rFonts w:ascii="Arial" w:hAnsi="Arial" w:cs="Arial"/>
        </w:rPr>
        <w:t xml:space="preserve"> can provide information of their cells’ PCIs (and global cell identities) and </w:t>
      </w:r>
      <w:r>
        <w:rPr>
          <w:rFonts w:ascii="Arial" w:hAnsi="Arial" w:cs="Arial"/>
        </w:rPr>
        <w:t xml:space="preserve">their </w:t>
      </w:r>
      <w:r w:rsidRPr="00805356">
        <w:rPr>
          <w:rFonts w:ascii="Arial" w:hAnsi="Arial" w:cs="Arial"/>
        </w:rPr>
        <w:t>neighbo</w:t>
      </w:r>
      <w:r>
        <w:rPr>
          <w:rFonts w:ascii="Arial" w:hAnsi="Arial" w:cs="Arial"/>
        </w:rPr>
        <w:t>u</w:t>
      </w:r>
      <w:r w:rsidRPr="00805356">
        <w:rPr>
          <w:rFonts w:ascii="Arial" w:hAnsi="Arial" w:cs="Arial"/>
        </w:rPr>
        <w:t xml:space="preserve">r </w:t>
      </w:r>
      <w:proofErr w:type="spellStart"/>
      <w:r w:rsidRPr="00805356">
        <w:rPr>
          <w:rFonts w:ascii="Arial" w:hAnsi="Arial" w:cs="Arial"/>
        </w:rPr>
        <w:t>gNBs</w:t>
      </w:r>
      <w:proofErr w:type="spellEnd"/>
      <w:r w:rsidRPr="00805356">
        <w:rPr>
          <w:rFonts w:ascii="Arial" w:hAnsi="Arial" w:cs="Arial"/>
        </w:rPr>
        <w:t xml:space="preserve"> cells’ PCIs (and global cell identities) to allow proactive detection of potential PCI conflicts</w:t>
      </w:r>
      <w:r>
        <w:rPr>
          <w:rFonts w:ascii="Arial" w:hAnsi="Arial" w:cs="Arial"/>
        </w:rPr>
        <w:t xml:space="preserve"> and to enable change of PCI without causing new collisions</w:t>
      </w:r>
      <w:r w:rsidRPr="00805356">
        <w:rPr>
          <w:rFonts w:ascii="Arial" w:hAnsi="Arial" w:cs="Arial"/>
        </w:rPr>
        <w:t>. Detected PCI conflicts can be reported to the O&amp;M system, which can</w:t>
      </w:r>
      <w:r>
        <w:rPr>
          <w:rFonts w:ascii="Arial" w:hAnsi="Arial" w:cs="Arial"/>
        </w:rPr>
        <w:t xml:space="preserve"> determine which cell that should change its PCI and request the responsible gNB to execute the change.</w:t>
      </w:r>
    </w:p>
    <w:p w14:paraId="031C48C3" w14:textId="478FF908" w:rsidR="00426226" w:rsidRDefault="00426226" w:rsidP="0012239C">
      <w:pPr>
        <w:rPr>
          <w:rFonts w:ascii="Arial" w:hAnsi="Arial" w:cs="Arial"/>
        </w:rPr>
      </w:pPr>
      <w:r w:rsidRPr="00426226">
        <w:rPr>
          <w:rFonts w:ascii="Arial" w:hAnsi="Arial" w:cs="Arial"/>
        </w:rPr>
        <w:t>A complicating factor in NR-U is that multiple operators may operate multiple PLMNs in the same unlicensed frequency band</w:t>
      </w:r>
      <w:r>
        <w:rPr>
          <w:rFonts w:ascii="Arial" w:hAnsi="Arial" w:cs="Arial"/>
        </w:rPr>
        <w:t xml:space="preserve">. This prevents use of central coordination of PCI changes </w:t>
      </w:r>
      <w:proofErr w:type="gramStart"/>
      <w:r>
        <w:rPr>
          <w:rFonts w:ascii="Arial" w:hAnsi="Arial" w:cs="Arial"/>
        </w:rPr>
        <w:t>and also</w:t>
      </w:r>
      <w:proofErr w:type="gramEnd"/>
      <w:r>
        <w:rPr>
          <w:rFonts w:ascii="Arial" w:hAnsi="Arial" w:cs="Arial"/>
        </w:rPr>
        <w:t xml:space="preserve"> prohibits</w:t>
      </w:r>
      <w:r w:rsidR="005F6096">
        <w:rPr>
          <w:rFonts w:ascii="Arial" w:hAnsi="Arial" w:cs="Arial"/>
        </w:rPr>
        <w:t xml:space="preserve"> use of inter-gNB communication as a general tool. </w:t>
      </w:r>
    </w:p>
    <w:p w14:paraId="1DA9800D" w14:textId="430A98F4" w:rsidR="005F6096" w:rsidRDefault="005F6096" w:rsidP="005F6096">
      <w:pPr>
        <w:pStyle w:val="Observation"/>
      </w:pPr>
      <w:bookmarkStart w:id="5" w:name="_Toc1077543"/>
      <w:r>
        <w:lastRenderedPageBreak/>
        <w:t>The possible presence of multiple PLMNs (operated by different operators) on the same frequency band in the same area renders some of the legacy means for management of PCI collisions unusable.</w:t>
      </w:r>
      <w:bookmarkEnd w:id="5"/>
    </w:p>
    <w:p w14:paraId="538E7898" w14:textId="27D5D950" w:rsidR="005F6096" w:rsidRDefault="005F6096" w:rsidP="0012239C">
      <w:pPr>
        <w:rPr>
          <w:rFonts w:ascii="Arial" w:hAnsi="Arial" w:cs="Arial"/>
        </w:rPr>
      </w:pPr>
      <w:r>
        <w:rPr>
          <w:rFonts w:ascii="Arial" w:hAnsi="Arial" w:cs="Arial"/>
        </w:rPr>
        <w:t>To overcome the problems caused by the multi-PLMN environment of NR-U</w:t>
      </w:r>
      <w:r w:rsidR="00C63AD4">
        <w:rPr>
          <w:rFonts w:ascii="Arial" w:hAnsi="Arial" w:cs="Arial"/>
        </w:rPr>
        <w:t>,</w:t>
      </w:r>
      <w:r>
        <w:rPr>
          <w:rFonts w:ascii="Arial" w:hAnsi="Arial" w:cs="Arial"/>
        </w:rPr>
        <w:t xml:space="preserve"> additional mechanisms should be </w:t>
      </w:r>
      <w:r w:rsidR="001F5D4F">
        <w:rPr>
          <w:rFonts w:ascii="Arial" w:hAnsi="Arial" w:cs="Arial"/>
        </w:rPr>
        <w:t>considered</w:t>
      </w:r>
      <w:r>
        <w:rPr>
          <w:rFonts w:ascii="Arial" w:hAnsi="Arial" w:cs="Arial"/>
        </w:rPr>
        <w:t xml:space="preserve"> for NR-U, which could compensate for the legacy mechanisms that do not work well for inter-PLMN PCI collisions.</w:t>
      </w:r>
    </w:p>
    <w:p w14:paraId="6517A593" w14:textId="2EA1D9DF" w:rsidR="0097410B" w:rsidRDefault="0097410B" w:rsidP="0012239C">
      <w:pPr>
        <w:rPr>
          <w:rFonts w:ascii="Arial" w:hAnsi="Arial" w:cs="Arial"/>
        </w:rPr>
      </w:pPr>
      <w:r>
        <w:rPr>
          <w:rFonts w:ascii="Arial" w:hAnsi="Arial" w:cs="Arial"/>
        </w:rPr>
        <w:t xml:space="preserve">One such mechanism could be to enable configuration of UEs </w:t>
      </w:r>
      <w:r w:rsidR="00FD4F3E" w:rsidRPr="00FD4F3E">
        <w:rPr>
          <w:rFonts w:ascii="Arial" w:hAnsi="Arial" w:cs="Arial"/>
        </w:rPr>
        <w:t>to record combinations of PCI</w:t>
      </w:r>
      <w:r w:rsidR="004F5BA3">
        <w:rPr>
          <w:rFonts w:ascii="Arial" w:hAnsi="Arial" w:cs="Arial"/>
        </w:rPr>
        <w:t>s</w:t>
      </w:r>
      <w:r w:rsidR="00FD4F3E" w:rsidRPr="00FD4F3E">
        <w:rPr>
          <w:rFonts w:ascii="Arial" w:hAnsi="Arial" w:cs="Arial"/>
        </w:rPr>
        <w:t xml:space="preserve"> and global cell identities (where the global cell identity contains the PLMN ID) in RRC_IDLE and/or RRC_INACTIVE state and later report them to the network</w:t>
      </w:r>
      <w:r w:rsidR="00660024">
        <w:rPr>
          <w:rFonts w:ascii="Arial" w:hAnsi="Arial" w:cs="Arial"/>
        </w:rPr>
        <w:t xml:space="preserve">, e.g. as part of the </w:t>
      </w:r>
      <w:r w:rsidR="001F1A44">
        <w:rPr>
          <w:rFonts w:ascii="Arial" w:hAnsi="Arial" w:cs="Arial"/>
        </w:rPr>
        <w:t>MDT/</w:t>
      </w:r>
      <w:r w:rsidR="00660024">
        <w:rPr>
          <w:rFonts w:ascii="Arial" w:hAnsi="Arial" w:cs="Arial"/>
        </w:rPr>
        <w:t>logged measurement framework</w:t>
      </w:r>
      <w:r w:rsidR="00FD4F3E" w:rsidRPr="00FD4F3E">
        <w:rPr>
          <w:rFonts w:ascii="Arial" w:hAnsi="Arial" w:cs="Arial"/>
        </w:rPr>
        <w:t>. When reporting to the network, a UE could be requested</w:t>
      </w:r>
      <w:r w:rsidR="00DB09F6">
        <w:rPr>
          <w:rFonts w:ascii="Arial" w:hAnsi="Arial" w:cs="Arial"/>
        </w:rPr>
        <w:t xml:space="preserve"> or configured</w:t>
      </w:r>
      <w:r w:rsidR="00FD4F3E" w:rsidRPr="00FD4F3E">
        <w:rPr>
          <w:rFonts w:ascii="Arial" w:hAnsi="Arial" w:cs="Arial"/>
        </w:rPr>
        <w:t xml:space="preserve"> to report the PCI-global cell identity combinations of the last N cells it has visited or the PCI-global cell identity combinations of the cells it has visited during the last N minutes. </w:t>
      </w:r>
      <w:r w:rsidR="00D71C79">
        <w:rPr>
          <w:rFonts w:ascii="Arial" w:hAnsi="Arial" w:cs="Arial"/>
        </w:rPr>
        <w:t xml:space="preserve">Position information associated with the </w:t>
      </w:r>
      <w:r w:rsidR="00144B54">
        <w:rPr>
          <w:rFonts w:ascii="Arial" w:hAnsi="Arial" w:cs="Arial"/>
        </w:rPr>
        <w:t>recordings could also be considered.</w:t>
      </w:r>
      <w:r w:rsidR="0002657A">
        <w:rPr>
          <w:rFonts w:ascii="Arial" w:hAnsi="Arial" w:cs="Arial"/>
        </w:rPr>
        <w:t xml:space="preserve"> Such a mechanism would enable proactive detection of potential PCI collisions as well as facilitate for a gNB to change the PCI of a cell to a PCI which will not cause new collisions.</w:t>
      </w:r>
    </w:p>
    <w:p w14:paraId="6DD7F3EB" w14:textId="2D6E7D54" w:rsidR="005F6096" w:rsidRDefault="005F6096" w:rsidP="0012239C">
      <w:pPr>
        <w:rPr>
          <w:rFonts w:ascii="Arial" w:hAnsi="Arial" w:cs="Arial"/>
        </w:rPr>
      </w:pPr>
      <w:r>
        <w:rPr>
          <w:rFonts w:ascii="Arial" w:hAnsi="Arial" w:cs="Arial"/>
        </w:rPr>
        <w:t xml:space="preserve">Another </w:t>
      </w:r>
      <w:r w:rsidR="0097410B">
        <w:rPr>
          <w:rFonts w:ascii="Arial" w:hAnsi="Arial" w:cs="Arial"/>
        </w:rPr>
        <w:t>mechanism</w:t>
      </w:r>
      <w:r>
        <w:rPr>
          <w:rFonts w:ascii="Arial" w:hAnsi="Arial" w:cs="Arial"/>
        </w:rPr>
        <w:t xml:space="preserve"> could be </w:t>
      </w:r>
      <w:r w:rsidR="00EC4BDB">
        <w:rPr>
          <w:rFonts w:ascii="Arial" w:hAnsi="Arial" w:cs="Arial"/>
        </w:rPr>
        <w:t xml:space="preserve">a rule for </w:t>
      </w:r>
      <w:r>
        <w:rPr>
          <w:rFonts w:ascii="Arial" w:hAnsi="Arial" w:cs="Arial"/>
        </w:rPr>
        <w:t xml:space="preserve">distributed, but deterministic choice of cell to change PCI. Such a mechanism could for instance be based on a combination of parameters or identifiers from both the involved cells, e.g. the global cell identity of both cells or a hash of the entire MIB of both cells. </w:t>
      </w:r>
      <w:r w:rsidR="00E46E3F">
        <w:rPr>
          <w:rFonts w:ascii="Arial" w:hAnsi="Arial" w:cs="Arial"/>
        </w:rPr>
        <w:t>The</w:t>
      </w:r>
      <w:r>
        <w:rPr>
          <w:rFonts w:ascii="Arial" w:hAnsi="Arial" w:cs="Arial"/>
        </w:rPr>
        <w:t xml:space="preserve"> result could be a number, which</w:t>
      </w:r>
      <w:r w:rsidR="00E46E3F">
        <w:rPr>
          <w:rFonts w:ascii="Arial" w:hAnsi="Arial" w:cs="Arial"/>
        </w:rPr>
        <w:t xml:space="preserve"> (for instance), if it is even means that the cell with the lowest network</w:t>
      </w:r>
      <w:r w:rsidR="00784B9F">
        <w:rPr>
          <w:rFonts w:ascii="Arial" w:hAnsi="Arial" w:cs="Arial"/>
        </w:rPr>
        <w:t xml:space="preserve">-unique </w:t>
      </w:r>
      <w:r w:rsidR="00E46E3F">
        <w:rPr>
          <w:rFonts w:ascii="Arial" w:hAnsi="Arial" w:cs="Arial"/>
        </w:rPr>
        <w:t>part of the global cell identity</w:t>
      </w:r>
      <w:r w:rsidR="00784B9F">
        <w:rPr>
          <w:rFonts w:ascii="Arial" w:hAnsi="Arial" w:cs="Arial"/>
        </w:rPr>
        <w:t xml:space="preserve"> (i.e. excluding the PLMN ID)</w:t>
      </w:r>
      <w:r w:rsidR="00E46E3F">
        <w:rPr>
          <w:rFonts w:ascii="Arial" w:hAnsi="Arial" w:cs="Arial"/>
        </w:rPr>
        <w:t xml:space="preserve"> or the smallest MIB hash changes its PCI, while if the number is odd it means that the cell with the highest network</w:t>
      </w:r>
      <w:r w:rsidR="00455408">
        <w:rPr>
          <w:rFonts w:ascii="Arial" w:hAnsi="Arial" w:cs="Arial"/>
        </w:rPr>
        <w:t>-unique</w:t>
      </w:r>
      <w:r w:rsidR="00E46E3F">
        <w:rPr>
          <w:rFonts w:ascii="Arial" w:hAnsi="Arial" w:cs="Arial"/>
        </w:rPr>
        <w:t xml:space="preserve"> part of the global cell identity </w:t>
      </w:r>
      <w:r w:rsidR="00455408">
        <w:rPr>
          <w:rFonts w:ascii="Arial" w:hAnsi="Arial" w:cs="Arial"/>
        </w:rPr>
        <w:t xml:space="preserve">(i.e. excluding the PLMN ID) </w:t>
      </w:r>
      <w:r w:rsidR="00E46E3F">
        <w:rPr>
          <w:rFonts w:ascii="Arial" w:hAnsi="Arial" w:cs="Arial"/>
        </w:rPr>
        <w:t>or the greatest MIB hash should change its PCI.</w:t>
      </w:r>
      <w:r w:rsidR="00E16290">
        <w:rPr>
          <w:rFonts w:ascii="Arial" w:hAnsi="Arial" w:cs="Arial"/>
        </w:rPr>
        <w:t xml:space="preserve"> Or simpler</w:t>
      </w:r>
      <w:r w:rsidR="007C5012">
        <w:rPr>
          <w:rFonts w:ascii="Arial" w:hAnsi="Arial" w:cs="Arial"/>
        </w:rPr>
        <w:t xml:space="preserve">, </w:t>
      </w:r>
      <w:r w:rsidR="00365A47">
        <w:rPr>
          <w:rFonts w:ascii="Arial" w:hAnsi="Arial" w:cs="Arial"/>
        </w:rPr>
        <w:t xml:space="preserve">the </w:t>
      </w:r>
      <w:r w:rsidR="001E2DA2">
        <w:rPr>
          <w:rFonts w:ascii="Arial" w:hAnsi="Arial" w:cs="Arial"/>
        </w:rPr>
        <w:t xml:space="preserve">one of the conflicting </w:t>
      </w:r>
      <w:r w:rsidR="00365A47">
        <w:rPr>
          <w:rFonts w:ascii="Arial" w:hAnsi="Arial" w:cs="Arial"/>
        </w:rPr>
        <w:t>cell</w:t>
      </w:r>
      <w:r w:rsidR="001E2DA2">
        <w:rPr>
          <w:rFonts w:ascii="Arial" w:hAnsi="Arial" w:cs="Arial"/>
        </w:rPr>
        <w:t>s</w:t>
      </w:r>
      <w:r w:rsidR="00365A47">
        <w:rPr>
          <w:rFonts w:ascii="Arial" w:hAnsi="Arial" w:cs="Arial"/>
        </w:rPr>
        <w:t xml:space="preserve"> with the highest </w:t>
      </w:r>
      <w:r w:rsidR="00EF454E">
        <w:rPr>
          <w:rFonts w:ascii="Arial" w:hAnsi="Arial" w:cs="Arial"/>
        </w:rPr>
        <w:t>network-unique part of the global cell identity (i.e. excluding the PLMN ID)</w:t>
      </w:r>
      <w:r w:rsidR="001E2DA2">
        <w:rPr>
          <w:rFonts w:ascii="Arial" w:hAnsi="Arial" w:cs="Arial"/>
        </w:rPr>
        <w:t xml:space="preserve"> changes its PCI. If this is not enough </w:t>
      </w:r>
      <w:r w:rsidR="007E69EF">
        <w:rPr>
          <w:rFonts w:ascii="Arial" w:hAnsi="Arial" w:cs="Arial"/>
        </w:rPr>
        <w:t>to uniquely point out a cell to change its PCI</w:t>
      </w:r>
      <w:r w:rsidR="002250FC">
        <w:rPr>
          <w:rFonts w:ascii="Arial" w:hAnsi="Arial" w:cs="Arial"/>
        </w:rPr>
        <w:t xml:space="preserve"> (i.e. if the cells belong to different PLMNs and have the same </w:t>
      </w:r>
      <w:r w:rsidR="00971793">
        <w:rPr>
          <w:rFonts w:ascii="Arial" w:hAnsi="Arial" w:cs="Arial"/>
        </w:rPr>
        <w:t>network-unique part of the global cell identity)</w:t>
      </w:r>
      <w:r w:rsidR="007E69EF">
        <w:rPr>
          <w:rFonts w:ascii="Arial" w:hAnsi="Arial" w:cs="Arial"/>
        </w:rPr>
        <w:t>, the PLMN ID</w:t>
      </w:r>
      <w:r w:rsidR="00765FC3">
        <w:rPr>
          <w:rFonts w:ascii="Arial" w:hAnsi="Arial" w:cs="Arial"/>
        </w:rPr>
        <w:t xml:space="preserve"> could be used, e.g. the cell with the highest PLMN ID changes its PCI</w:t>
      </w:r>
      <w:r w:rsidR="00170BEA">
        <w:rPr>
          <w:rFonts w:ascii="Arial" w:hAnsi="Arial" w:cs="Arial"/>
        </w:rPr>
        <w:t>.</w:t>
      </w:r>
    </w:p>
    <w:p w14:paraId="24B8E316" w14:textId="40D876BD" w:rsidR="002F09C5" w:rsidRDefault="00E64B43" w:rsidP="002F09C5">
      <w:pPr>
        <w:pStyle w:val="Proposal"/>
      </w:pPr>
      <w:bookmarkStart w:id="6" w:name="_Toc1077544"/>
      <w:r>
        <w:t>The LTE mechanisms using a combination of distributed and centralized SON mechanisms should be used as a baseline for NR-U</w:t>
      </w:r>
      <w:r w:rsidR="00027CA3">
        <w:t>.</w:t>
      </w:r>
      <w:bookmarkEnd w:id="6"/>
    </w:p>
    <w:p w14:paraId="121D5260" w14:textId="48D45F3F" w:rsidR="002F09C5" w:rsidRPr="0024658D" w:rsidRDefault="00E64B43" w:rsidP="00027CA3">
      <w:pPr>
        <w:pStyle w:val="Proposal"/>
        <w:rPr>
          <w:rStyle w:val="IvDbodytextChar"/>
          <w:spacing w:val="0"/>
          <w:lang w:val="en-GB" w:eastAsia="zh-CN"/>
        </w:rPr>
      </w:pPr>
      <w:bookmarkStart w:id="7" w:name="_Toc509834927"/>
      <w:bookmarkStart w:id="8" w:name="_Toc509834963"/>
      <w:bookmarkStart w:id="9" w:name="_Toc509837121"/>
      <w:bookmarkStart w:id="10" w:name="_Toc509851305"/>
      <w:bookmarkStart w:id="11" w:name="_Toc509851316"/>
      <w:bookmarkStart w:id="12" w:name="_Toc509851324"/>
      <w:bookmarkStart w:id="13" w:name="_Toc510613636"/>
      <w:bookmarkStart w:id="14" w:name="_Toc510613662"/>
      <w:bookmarkStart w:id="15" w:name="_Toc513731600"/>
      <w:bookmarkStart w:id="16" w:name="_Toc513731616"/>
      <w:bookmarkStart w:id="17" w:name="_Toc513731670"/>
      <w:bookmarkStart w:id="18" w:name="_Toc513731722"/>
      <w:bookmarkStart w:id="19" w:name="_Toc513738285"/>
      <w:bookmarkStart w:id="20" w:name="_Toc513738299"/>
      <w:bookmarkStart w:id="21" w:name="_Toc1077545"/>
      <w:bookmarkStart w:id="22" w:name="_Hlk503258975"/>
      <w:r>
        <w:rPr>
          <w:rFonts w:cs="Arial"/>
        </w:rPr>
        <w:t>Additional mechanisms should be studied for NR-U, which could compensate for the legacy mechanisms that do not work well for inter-PLMN PCI collisions</w:t>
      </w:r>
      <w:r w:rsidR="002F09C5">
        <w:rPr>
          <w:rStyle w:val="IvDbodytextChar"/>
        </w:rPr>
        <w:t>.</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02657A">
        <w:rPr>
          <w:rStyle w:val="IvDbodytextChar"/>
        </w:rPr>
        <w:t xml:space="preserve"> Such mechanisms could include usage of UEs in RRC_IDLE and RRC_INACTIVE state to collect and report PCI-global cell identity combinations and distributed mechanisms for selection of the cell to change PCI in a PCI conflict.</w:t>
      </w:r>
      <w:bookmarkEnd w:id="21"/>
    </w:p>
    <w:p w14:paraId="6BD7D4EB" w14:textId="1656CFD4" w:rsidR="00FA3255" w:rsidRDefault="00FA3255" w:rsidP="007C5507">
      <w:pPr>
        <w:jc w:val="center"/>
        <w:rPr>
          <w:rFonts w:ascii="Arial" w:hAnsi="Arial" w:cs="Arial"/>
        </w:rPr>
      </w:pPr>
    </w:p>
    <w:bookmarkEnd w:id="22"/>
    <w:p w14:paraId="10C8EFBD" w14:textId="3A2DAF71" w:rsidR="00C01F33" w:rsidRPr="00CE0424" w:rsidRDefault="002F09C5" w:rsidP="00CE0424">
      <w:pPr>
        <w:pStyle w:val="Heading1"/>
      </w:pPr>
      <w:r>
        <w:t>3</w:t>
      </w:r>
      <w:r w:rsidR="00F12B1D">
        <w:tab/>
      </w:r>
      <w:r w:rsidR="00C01F33" w:rsidRPr="00CE0424">
        <w:t>Conclusion</w:t>
      </w:r>
    </w:p>
    <w:p w14:paraId="07A1D8B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5AAF76" w14:textId="498D7A6F" w:rsidR="007323C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077540" w:history="1">
        <w:r w:rsidR="007323C4" w:rsidRPr="00921A35">
          <w:rPr>
            <w:rStyle w:val="Hyperlink"/>
            <w:noProof/>
          </w:rPr>
          <w:t>Observation 1</w:t>
        </w:r>
        <w:r w:rsidR="007323C4">
          <w:rPr>
            <w:rFonts w:asciiTheme="minorHAnsi" w:eastAsiaTheme="minorEastAsia" w:hAnsiTheme="minorHAnsi" w:cstheme="minorBidi"/>
            <w:b w:val="0"/>
            <w:noProof/>
            <w:sz w:val="22"/>
            <w:szCs w:val="22"/>
            <w:lang w:eastAsia="en-GB"/>
          </w:rPr>
          <w:tab/>
        </w:r>
        <w:r w:rsidR="007323C4" w:rsidRPr="00921A35">
          <w:rPr>
            <w:rStyle w:val="Hyperlink"/>
            <w:noProof/>
          </w:rPr>
          <w:t>PCI conflicts are harmful and means should be provided to avoid or eliminate them.</w:t>
        </w:r>
      </w:hyperlink>
    </w:p>
    <w:p w14:paraId="180A096D" w14:textId="0C94A73D" w:rsidR="007323C4" w:rsidRDefault="00716568">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7541" w:history="1">
        <w:r w:rsidR="007323C4" w:rsidRPr="00921A35">
          <w:rPr>
            <w:rStyle w:val="Hyperlink"/>
            <w:noProof/>
          </w:rPr>
          <w:t>Observation 2</w:t>
        </w:r>
        <w:r w:rsidR="007323C4">
          <w:rPr>
            <w:rFonts w:asciiTheme="minorHAnsi" w:eastAsiaTheme="minorEastAsia" w:hAnsiTheme="minorHAnsi" w:cstheme="minorBidi"/>
            <w:b w:val="0"/>
            <w:noProof/>
            <w:sz w:val="22"/>
            <w:szCs w:val="22"/>
            <w:lang w:eastAsia="en-GB"/>
          </w:rPr>
          <w:tab/>
        </w:r>
        <w:r w:rsidR="007323C4" w:rsidRPr="00921A35">
          <w:rPr>
            <w:rStyle w:val="Hyperlink"/>
            <w:noProof/>
          </w:rPr>
          <w:t>Coordination of PCI collision resolution is beneficial to avoid that both conflicting cells change PCI.</w:t>
        </w:r>
      </w:hyperlink>
    </w:p>
    <w:p w14:paraId="54185FFB" w14:textId="6828E296" w:rsidR="007323C4" w:rsidRDefault="00716568">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7542" w:history="1">
        <w:r w:rsidR="007323C4" w:rsidRPr="00921A35">
          <w:rPr>
            <w:rStyle w:val="Hyperlink"/>
            <w:noProof/>
          </w:rPr>
          <w:t>Observation 3</w:t>
        </w:r>
        <w:r w:rsidR="007323C4">
          <w:rPr>
            <w:rFonts w:asciiTheme="minorHAnsi" w:eastAsiaTheme="minorEastAsia" w:hAnsiTheme="minorHAnsi" w:cstheme="minorBidi"/>
            <w:b w:val="0"/>
            <w:noProof/>
            <w:sz w:val="22"/>
            <w:szCs w:val="22"/>
            <w:lang w:eastAsia="en-GB"/>
          </w:rPr>
          <w:tab/>
        </w:r>
        <w:r w:rsidR="007323C4" w:rsidRPr="00921A35">
          <w:rPr>
            <w:rStyle w:val="Hyperlink"/>
            <w:noProof/>
          </w:rPr>
          <w:t>The combination of distributed and centralized SON mechanisms used in LTE can be used as baseline for NR-U together with gNBs scanning for conflicting PCIs of neighbouring PCIs.</w:t>
        </w:r>
      </w:hyperlink>
    </w:p>
    <w:p w14:paraId="462701AA" w14:textId="4A9CA193" w:rsidR="007323C4" w:rsidRDefault="00716568">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7543" w:history="1">
        <w:r w:rsidR="007323C4" w:rsidRPr="00921A35">
          <w:rPr>
            <w:rStyle w:val="Hyperlink"/>
            <w:noProof/>
          </w:rPr>
          <w:t>Observation 4</w:t>
        </w:r>
        <w:r w:rsidR="007323C4">
          <w:rPr>
            <w:rFonts w:asciiTheme="minorHAnsi" w:eastAsiaTheme="minorEastAsia" w:hAnsiTheme="minorHAnsi" w:cstheme="minorBidi"/>
            <w:b w:val="0"/>
            <w:noProof/>
            <w:sz w:val="22"/>
            <w:szCs w:val="22"/>
            <w:lang w:eastAsia="en-GB"/>
          </w:rPr>
          <w:tab/>
        </w:r>
        <w:r w:rsidR="007323C4" w:rsidRPr="00921A35">
          <w:rPr>
            <w:rStyle w:val="Hyperlink"/>
            <w:noProof/>
          </w:rPr>
          <w:t>The possible presence of multiple PLMNs (operated by different operators) on the same frequency band in the same area renders some of the legacy means for management of PCI collisions unusable.</w:t>
        </w:r>
      </w:hyperlink>
    </w:p>
    <w:p w14:paraId="4FEE9D35" w14:textId="7A5EB535" w:rsidR="006E1C82" w:rsidRDefault="006F6582" w:rsidP="006E1C82">
      <w:pPr>
        <w:pStyle w:val="BodyText"/>
      </w:pPr>
      <w:r>
        <w:rPr>
          <w:b/>
          <w:bCs/>
        </w:rPr>
        <w:fldChar w:fldCharType="end"/>
      </w:r>
      <w:r w:rsidR="008E065E" w:rsidRPr="00CE0424">
        <w:t>Based on the</w:t>
      </w:r>
      <w:r w:rsidR="00027CA3">
        <w:t xml:space="preserve"> above observations and the</w:t>
      </w:r>
      <w:r w:rsidR="008E065E" w:rsidRPr="00CE0424">
        <w:t xml:space="preserve"> discussion in </w:t>
      </w:r>
      <w:r w:rsidR="007729A2">
        <w:t xml:space="preserve">the previous </w:t>
      </w:r>
      <w:r w:rsidR="008E065E" w:rsidRPr="00CE0424">
        <w:t>section</w:t>
      </w:r>
      <w:r w:rsidR="007729A2">
        <w:t>s</w:t>
      </w:r>
      <w:r w:rsidR="008E065E" w:rsidRPr="00CE0424">
        <w:t xml:space="preserve"> we propose the following:</w:t>
      </w:r>
    </w:p>
    <w:p w14:paraId="2E15933B" w14:textId="4B8240A1" w:rsidR="007323C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77544" w:history="1">
        <w:r w:rsidR="007323C4" w:rsidRPr="007E2496">
          <w:rPr>
            <w:rStyle w:val="Hyperlink"/>
            <w:noProof/>
          </w:rPr>
          <w:t>Proposal 1</w:t>
        </w:r>
        <w:r w:rsidR="007323C4">
          <w:rPr>
            <w:rFonts w:asciiTheme="minorHAnsi" w:eastAsiaTheme="minorEastAsia" w:hAnsiTheme="minorHAnsi" w:cstheme="minorBidi"/>
            <w:b w:val="0"/>
            <w:noProof/>
            <w:sz w:val="22"/>
            <w:szCs w:val="22"/>
            <w:lang w:eastAsia="en-GB"/>
          </w:rPr>
          <w:tab/>
        </w:r>
        <w:r w:rsidR="007323C4" w:rsidRPr="007E2496">
          <w:rPr>
            <w:rStyle w:val="Hyperlink"/>
            <w:noProof/>
          </w:rPr>
          <w:t>The LTE mechanisms using a combination of distributed and centralized SON mechanisms should be used as a baseline for NR-U.</w:t>
        </w:r>
      </w:hyperlink>
    </w:p>
    <w:p w14:paraId="0CBDF835" w14:textId="2A2517CA" w:rsidR="007323C4" w:rsidRDefault="00716568">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7545" w:history="1">
        <w:r w:rsidR="007323C4" w:rsidRPr="007E2496">
          <w:rPr>
            <w:rStyle w:val="Hyperlink"/>
            <w:noProof/>
          </w:rPr>
          <w:t>Proposal 2</w:t>
        </w:r>
        <w:r w:rsidR="007323C4">
          <w:rPr>
            <w:rFonts w:asciiTheme="minorHAnsi" w:eastAsiaTheme="minorEastAsia" w:hAnsiTheme="minorHAnsi" w:cstheme="minorBidi"/>
            <w:b w:val="0"/>
            <w:noProof/>
            <w:sz w:val="22"/>
            <w:szCs w:val="22"/>
            <w:lang w:eastAsia="en-GB"/>
          </w:rPr>
          <w:tab/>
        </w:r>
        <w:r w:rsidR="007323C4" w:rsidRPr="007E2496">
          <w:rPr>
            <w:rStyle w:val="Hyperlink"/>
            <w:rFonts w:cs="Arial"/>
            <w:noProof/>
          </w:rPr>
          <w:t>Additional mechanisms should be studied for NR-U, which could compensate for the legacy mechanisms that do not work well for inter-PLMN PCI collisions</w:t>
        </w:r>
        <w:r w:rsidR="007323C4" w:rsidRPr="007E2496">
          <w:rPr>
            <w:rStyle w:val="Hyperlink"/>
            <w:noProof/>
            <w:spacing w:val="2"/>
            <w:lang w:val="en-US" w:eastAsia="en-US"/>
          </w:rPr>
          <w:t xml:space="preserve">. Such </w:t>
        </w:r>
        <w:r w:rsidR="007323C4" w:rsidRPr="007E2496">
          <w:rPr>
            <w:rStyle w:val="Hyperlink"/>
            <w:noProof/>
            <w:spacing w:val="2"/>
            <w:lang w:val="en-US" w:eastAsia="en-US"/>
          </w:rPr>
          <w:lastRenderedPageBreak/>
          <w:t>mechanisms could include usage of UEs in RRC_IDLE and RRC_INACTIVE state to collect and report PCI-global cell identity combinations and distributed mechanisms for selection of the cell to change PCI in a PCI conflict.</w:t>
        </w:r>
      </w:hyperlink>
    </w:p>
    <w:p w14:paraId="4FC36782" w14:textId="4B0586EA" w:rsidR="00C01F33" w:rsidRPr="00CE0424" w:rsidRDefault="006E1C82" w:rsidP="00C86EE5">
      <w:pPr>
        <w:pStyle w:val="BodyText"/>
      </w:pPr>
      <w:r>
        <w:rPr>
          <w:b/>
          <w:bCs/>
          <w:lang w:val="en-US"/>
        </w:rPr>
        <w:fldChar w:fldCharType="end"/>
      </w:r>
    </w:p>
    <w:p w14:paraId="2CACABAD" w14:textId="77777777" w:rsidR="003A7EF3" w:rsidRPr="00CE0424" w:rsidRDefault="003A7EF3" w:rsidP="00CE0424">
      <w:pPr>
        <w:pStyle w:val="BodyText"/>
      </w:pPr>
      <w:bookmarkStart w:id="23" w:name="_In-sequence_SDU_delivery"/>
      <w:bookmarkEnd w:id="2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D26A0" w14:textId="77777777" w:rsidR="00475E13" w:rsidRDefault="00475E13">
      <w:r>
        <w:separator/>
      </w:r>
    </w:p>
  </w:endnote>
  <w:endnote w:type="continuationSeparator" w:id="0">
    <w:p w14:paraId="28904F5B" w14:textId="77777777" w:rsidR="00475E13" w:rsidRDefault="0047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145AD" w14:textId="77777777" w:rsidR="00475E13" w:rsidRDefault="00475E13">
      <w:r>
        <w:separator/>
      </w:r>
    </w:p>
  </w:footnote>
  <w:footnote w:type="continuationSeparator" w:id="0">
    <w:p w14:paraId="6EE71280" w14:textId="77777777" w:rsidR="00475E13" w:rsidRDefault="0047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8"/>
  </w:num>
  <w:num w:numId="24">
    <w:abstractNumId w:val="20"/>
  </w:num>
  <w:num w:numId="25">
    <w:abstractNumId w:val="4"/>
  </w:num>
  <w:num w:numId="26">
    <w:abstractNumId w:val="2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6E1"/>
    <w:rsid w:val="00002A37"/>
    <w:rsid w:val="0000564C"/>
    <w:rsid w:val="00006446"/>
    <w:rsid w:val="00006896"/>
    <w:rsid w:val="00007CDC"/>
    <w:rsid w:val="00011B28"/>
    <w:rsid w:val="00015D15"/>
    <w:rsid w:val="0002564D"/>
    <w:rsid w:val="00025ECA"/>
    <w:rsid w:val="0002657A"/>
    <w:rsid w:val="00027CA3"/>
    <w:rsid w:val="000322ED"/>
    <w:rsid w:val="000325B8"/>
    <w:rsid w:val="00034C15"/>
    <w:rsid w:val="00036BA1"/>
    <w:rsid w:val="000422E2"/>
    <w:rsid w:val="00042888"/>
    <w:rsid w:val="00042F22"/>
    <w:rsid w:val="000444EF"/>
    <w:rsid w:val="00045FE3"/>
    <w:rsid w:val="00046684"/>
    <w:rsid w:val="00052A07"/>
    <w:rsid w:val="0005314E"/>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5E"/>
    <w:rsid w:val="000D0D07"/>
    <w:rsid w:val="000D4797"/>
    <w:rsid w:val="000E0527"/>
    <w:rsid w:val="000E1E92"/>
    <w:rsid w:val="000F06D6"/>
    <w:rsid w:val="000F0EB1"/>
    <w:rsid w:val="000F1106"/>
    <w:rsid w:val="000F3BE9"/>
    <w:rsid w:val="000F3F6C"/>
    <w:rsid w:val="000F6DF3"/>
    <w:rsid w:val="000F757E"/>
    <w:rsid w:val="001005FF"/>
    <w:rsid w:val="001062FB"/>
    <w:rsid w:val="001063E6"/>
    <w:rsid w:val="00106DD7"/>
    <w:rsid w:val="00113CF4"/>
    <w:rsid w:val="001153EA"/>
    <w:rsid w:val="00115643"/>
    <w:rsid w:val="00116765"/>
    <w:rsid w:val="001219F5"/>
    <w:rsid w:val="00121A20"/>
    <w:rsid w:val="0012239C"/>
    <w:rsid w:val="0012377F"/>
    <w:rsid w:val="00123C32"/>
    <w:rsid w:val="00124314"/>
    <w:rsid w:val="00126B4A"/>
    <w:rsid w:val="00132FD0"/>
    <w:rsid w:val="001344C0"/>
    <w:rsid w:val="001346FA"/>
    <w:rsid w:val="00135252"/>
    <w:rsid w:val="00137AB5"/>
    <w:rsid w:val="00137F0B"/>
    <w:rsid w:val="00144B54"/>
    <w:rsid w:val="00151E23"/>
    <w:rsid w:val="001526E0"/>
    <w:rsid w:val="001551B5"/>
    <w:rsid w:val="00161662"/>
    <w:rsid w:val="001659C1"/>
    <w:rsid w:val="00170BEA"/>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772F"/>
    <w:rsid w:val="001D51BA"/>
    <w:rsid w:val="001D53E7"/>
    <w:rsid w:val="001D6342"/>
    <w:rsid w:val="001D6D53"/>
    <w:rsid w:val="001E2DA2"/>
    <w:rsid w:val="001E58E2"/>
    <w:rsid w:val="001E7AED"/>
    <w:rsid w:val="001F1A44"/>
    <w:rsid w:val="001F3916"/>
    <w:rsid w:val="001F4302"/>
    <w:rsid w:val="001F54C5"/>
    <w:rsid w:val="001F5D4F"/>
    <w:rsid w:val="001F662C"/>
    <w:rsid w:val="001F7074"/>
    <w:rsid w:val="00200490"/>
    <w:rsid w:val="00201F3A"/>
    <w:rsid w:val="00203F96"/>
    <w:rsid w:val="002069B2"/>
    <w:rsid w:val="00207FA3"/>
    <w:rsid w:val="002115F8"/>
    <w:rsid w:val="00214DA8"/>
    <w:rsid w:val="00215423"/>
    <w:rsid w:val="002158FA"/>
    <w:rsid w:val="00220600"/>
    <w:rsid w:val="002224DB"/>
    <w:rsid w:val="00222A43"/>
    <w:rsid w:val="00223FCB"/>
    <w:rsid w:val="002250FC"/>
    <w:rsid w:val="0022511D"/>
    <w:rsid w:val="002252C3"/>
    <w:rsid w:val="00225C54"/>
    <w:rsid w:val="00230765"/>
    <w:rsid w:val="00230D18"/>
    <w:rsid w:val="002319E4"/>
    <w:rsid w:val="00235632"/>
    <w:rsid w:val="00235872"/>
    <w:rsid w:val="00235D27"/>
    <w:rsid w:val="00241559"/>
    <w:rsid w:val="002435B3"/>
    <w:rsid w:val="002458EB"/>
    <w:rsid w:val="0024658D"/>
    <w:rsid w:val="002500C8"/>
    <w:rsid w:val="002540A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116"/>
    <w:rsid w:val="002914B2"/>
    <w:rsid w:val="0029188B"/>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5CA2"/>
    <w:rsid w:val="002E7CAE"/>
    <w:rsid w:val="002F09C5"/>
    <w:rsid w:val="002F1CA7"/>
    <w:rsid w:val="002F2771"/>
    <w:rsid w:val="002F37A9"/>
    <w:rsid w:val="002F3CAE"/>
    <w:rsid w:val="00301CE6"/>
    <w:rsid w:val="0030256B"/>
    <w:rsid w:val="0030501F"/>
    <w:rsid w:val="00307BA1"/>
    <w:rsid w:val="00311702"/>
    <w:rsid w:val="00311E82"/>
    <w:rsid w:val="00313FD6"/>
    <w:rsid w:val="003143BD"/>
    <w:rsid w:val="00315363"/>
    <w:rsid w:val="003203ED"/>
    <w:rsid w:val="00322C9F"/>
    <w:rsid w:val="00324D23"/>
    <w:rsid w:val="00331321"/>
    <w:rsid w:val="00331751"/>
    <w:rsid w:val="00334579"/>
    <w:rsid w:val="00335858"/>
    <w:rsid w:val="00336BDA"/>
    <w:rsid w:val="00342BD7"/>
    <w:rsid w:val="00346DB5"/>
    <w:rsid w:val="00346F88"/>
    <w:rsid w:val="003477B1"/>
    <w:rsid w:val="0035697F"/>
    <w:rsid w:val="00357380"/>
    <w:rsid w:val="003602D9"/>
    <w:rsid w:val="003604CE"/>
    <w:rsid w:val="003629E6"/>
    <w:rsid w:val="00365A47"/>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226"/>
    <w:rsid w:val="00427248"/>
    <w:rsid w:val="00437447"/>
    <w:rsid w:val="00441A92"/>
    <w:rsid w:val="00441BB0"/>
    <w:rsid w:val="004431DC"/>
    <w:rsid w:val="00444F56"/>
    <w:rsid w:val="0044599E"/>
    <w:rsid w:val="00446488"/>
    <w:rsid w:val="004477F7"/>
    <w:rsid w:val="004517AA"/>
    <w:rsid w:val="00452CAC"/>
    <w:rsid w:val="00455408"/>
    <w:rsid w:val="00457565"/>
    <w:rsid w:val="00457B71"/>
    <w:rsid w:val="004669E2"/>
    <w:rsid w:val="00470C31"/>
    <w:rsid w:val="00471DE0"/>
    <w:rsid w:val="004734D0"/>
    <w:rsid w:val="0047556B"/>
    <w:rsid w:val="00475E13"/>
    <w:rsid w:val="00477768"/>
    <w:rsid w:val="00487FB1"/>
    <w:rsid w:val="00492BC5"/>
    <w:rsid w:val="004964F1"/>
    <w:rsid w:val="004A16BC"/>
    <w:rsid w:val="004A2B94"/>
    <w:rsid w:val="004B322B"/>
    <w:rsid w:val="004B5636"/>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5BA3"/>
    <w:rsid w:val="004F6AC7"/>
    <w:rsid w:val="00506557"/>
    <w:rsid w:val="0050677A"/>
    <w:rsid w:val="005108D8"/>
    <w:rsid w:val="005116F9"/>
    <w:rsid w:val="005153A7"/>
    <w:rsid w:val="005219CF"/>
    <w:rsid w:val="00534B59"/>
    <w:rsid w:val="00536759"/>
    <w:rsid w:val="00537C62"/>
    <w:rsid w:val="00542E92"/>
    <w:rsid w:val="00546970"/>
    <w:rsid w:val="00554148"/>
    <w:rsid w:val="00554E19"/>
    <w:rsid w:val="0056121F"/>
    <w:rsid w:val="0057051B"/>
    <w:rsid w:val="00572505"/>
    <w:rsid w:val="005766EF"/>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096"/>
    <w:rsid w:val="005F618C"/>
    <w:rsid w:val="005F70BD"/>
    <w:rsid w:val="0060283C"/>
    <w:rsid w:val="00604F14"/>
    <w:rsid w:val="00605698"/>
    <w:rsid w:val="00611B83"/>
    <w:rsid w:val="00613257"/>
    <w:rsid w:val="00620A71"/>
    <w:rsid w:val="00620D80"/>
    <w:rsid w:val="006234A6"/>
    <w:rsid w:val="006255E7"/>
    <w:rsid w:val="00630001"/>
    <w:rsid w:val="006311B3"/>
    <w:rsid w:val="00631B1F"/>
    <w:rsid w:val="0063284C"/>
    <w:rsid w:val="00636398"/>
    <w:rsid w:val="006368D3"/>
    <w:rsid w:val="006377EC"/>
    <w:rsid w:val="0064151F"/>
    <w:rsid w:val="00641533"/>
    <w:rsid w:val="0064208D"/>
    <w:rsid w:val="00643475"/>
    <w:rsid w:val="0064396A"/>
    <w:rsid w:val="0064624E"/>
    <w:rsid w:val="006466F5"/>
    <w:rsid w:val="00650AB9"/>
    <w:rsid w:val="0065106C"/>
    <w:rsid w:val="00655733"/>
    <w:rsid w:val="00655ACD"/>
    <w:rsid w:val="00656A92"/>
    <w:rsid w:val="00656DDE"/>
    <w:rsid w:val="00660024"/>
    <w:rsid w:val="0066011D"/>
    <w:rsid w:val="006607C0"/>
    <w:rsid w:val="006613A6"/>
    <w:rsid w:val="006627A2"/>
    <w:rsid w:val="006634E6"/>
    <w:rsid w:val="006655EE"/>
    <w:rsid w:val="00667EE7"/>
    <w:rsid w:val="00670922"/>
    <w:rsid w:val="00670BE1"/>
    <w:rsid w:val="0067218F"/>
    <w:rsid w:val="0067364B"/>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024"/>
    <w:rsid w:val="006B1816"/>
    <w:rsid w:val="006B2099"/>
    <w:rsid w:val="006B50CF"/>
    <w:rsid w:val="006C03B8"/>
    <w:rsid w:val="006C2B72"/>
    <w:rsid w:val="006C5EC9"/>
    <w:rsid w:val="006C6059"/>
    <w:rsid w:val="006C7522"/>
    <w:rsid w:val="006D5189"/>
    <w:rsid w:val="006D6F08"/>
    <w:rsid w:val="006E062C"/>
    <w:rsid w:val="006E1C82"/>
    <w:rsid w:val="006E28B7"/>
    <w:rsid w:val="006E2A9B"/>
    <w:rsid w:val="006E3310"/>
    <w:rsid w:val="006E4E39"/>
    <w:rsid w:val="006E565E"/>
    <w:rsid w:val="006E673D"/>
    <w:rsid w:val="006E7D3B"/>
    <w:rsid w:val="006F1B70"/>
    <w:rsid w:val="006F341D"/>
    <w:rsid w:val="006F39C8"/>
    <w:rsid w:val="006F3CDE"/>
    <w:rsid w:val="006F58D4"/>
    <w:rsid w:val="006F6582"/>
    <w:rsid w:val="0070346E"/>
    <w:rsid w:val="00704EDB"/>
    <w:rsid w:val="00706101"/>
    <w:rsid w:val="00707072"/>
    <w:rsid w:val="00707D61"/>
    <w:rsid w:val="00712287"/>
    <w:rsid w:val="00712772"/>
    <w:rsid w:val="007148D3"/>
    <w:rsid w:val="00715B9A"/>
    <w:rsid w:val="00715FE0"/>
    <w:rsid w:val="00716568"/>
    <w:rsid w:val="00722D03"/>
    <w:rsid w:val="00723A57"/>
    <w:rsid w:val="00723FF0"/>
    <w:rsid w:val="007257D0"/>
    <w:rsid w:val="00726EA6"/>
    <w:rsid w:val="00727208"/>
    <w:rsid w:val="00727680"/>
    <w:rsid w:val="007323C4"/>
    <w:rsid w:val="007348B1"/>
    <w:rsid w:val="007362A6"/>
    <w:rsid w:val="00736D7D"/>
    <w:rsid w:val="00740E58"/>
    <w:rsid w:val="0074141A"/>
    <w:rsid w:val="007445A0"/>
    <w:rsid w:val="0074524B"/>
    <w:rsid w:val="00747D8B"/>
    <w:rsid w:val="00751228"/>
    <w:rsid w:val="00752DA2"/>
    <w:rsid w:val="007571E1"/>
    <w:rsid w:val="007604B2"/>
    <w:rsid w:val="00765281"/>
    <w:rsid w:val="00765FC3"/>
    <w:rsid w:val="00766BAD"/>
    <w:rsid w:val="007729A2"/>
    <w:rsid w:val="007755F2"/>
    <w:rsid w:val="00776971"/>
    <w:rsid w:val="00780A80"/>
    <w:rsid w:val="0078177E"/>
    <w:rsid w:val="0078304C"/>
    <w:rsid w:val="00783673"/>
    <w:rsid w:val="00784B9F"/>
    <w:rsid w:val="00785490"/>
    <w:rsid w:val="007925EA"/>
    <w:rsid w:val="00793CD8"/>
    <w:rsid w:val="0079586F"/>
    <w:rsid w:val="00795C92"/>
    <w:rsid w:val="00796231"/>
    <w:rsid w:val="007A1CB3"/>
    <w:rsid w:val="007A306F"/>
    <w:rsid w:val="007A43A6"/>
    <w:rsid w:val="007A58A6"/>
    <w:rsid w:val="007B265C"/>
    <w:rsid w:val="007B3D2D"/>
    <w:rsid w:val="007B50AE"/>
    <w:rsid w:val="007B51DF"/>
    <w:rsid w:val="007C05DD"/>
    <w:rsid w:val="007C3D18"/>
    <w:rsid w:val="007C5012"/>
    <w:rsid w:val="007C5507"/>
    <w:rsid w:val="007C60BF"/>
    <w:rsid w:val="007C6A07"/>
    <w:rsid w:val="007C75A1"/>
    <w:rsid w:val="007C77A5"/>
    <w:rsid w:val="007D04E5"/>
    <w:rsid w:val="007D5901"/>
    <w:rsid w:val="007D7526"/>
    <w:rsid w:val="007E4610"/>
    <w:rsid w:val="007E4715"/>
    <w:rsid w:val="007E505B"/>
    <w:rsid w:val="007E69EF"/>
    <w:rsid w:val="007E7091"/>
    <w:rsid w:val="00803FAE"/>
    <w:rsid w:val="00804B5A"/>
    <w:rsid w:val="00805356"/>
    <w:rsid w:val="0080605F"/>
    <w:rsid w:val="00807786"/>
    <w:rsid w:val="00811FCB"/>
    <w:rsid w:val="00813C85"/>
    <w:rsid w:val="008158D6"/>
    <w:rsid w:val="00817196"/>
    <w:rsid w:val="008215E7"/>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6BC"/>
    <w:rsid w:val="00887052"/>
    <w:rsid w:val="0089088B"/>
    <w:rsid w:val="00892CA0"/>
    <w:rsid w:val="008941E3"/>
    <w:rsid w:val="00894A88"/>
    <w:rsid w:val="00895386"/>
    <w:rsid w:val="008A21FF"/>
    <w:rsid w:val="008A2CE2"/>
    <w:rsid w:val="008A30AC"/>
    <w:rsid w:val="008A32D1"/>
    <w:rsid w:val="008A4049"/>
    <w:rsid w:val="008A44B8"/>
    <w:rsid w:val="008A51A8"/>
    <w:rsid w:val="008A54C7"/>
    <w:rsid w:val="008A77D8"/>
    <w:rsid w:val="008B0483"/>
    <w:rsid w:val="008B120C"/>
    <w:rsid w:val="008B34C0"/>
    <w:rsid w:val="008B51A0"/>
    <w:rsid w:val="008B592A"/>
    <w:rsid w:val="008B73DE"/>
    <w:rsid w:val="008B7B5C"/>
    <w:rsid w:val="008C0C99"/>
    <w:rsid w:val="008C2017"/>
    <w:rsid w:val="008C4958"/>
    <w:rsid w:val="008C4BAA"/>
    <w:rsid w:val="008C4DC9"/>
    <w:rsid w:val="008C6AE8"/>
    <w:rsid w:val="008C7573"/>
    <w:rsid w:val="008D00A5"/>
    <w:rsid w:val="008D34F1"/>
    <w:rsid w:val="008D39D8"/>
    <w:rsid w:val="008D46F9"/>
    <w:rsid w:val="008D6D1A"/>
    <w:rsid w:val="008E065E"/>
    <w:rsid w:val="008E0927"/>
    <w:rsid w:val="008E1909"/>
    <w:rsid w:val="008F1EAB"/>
    <w:rsid w:val="008F33DC"/>
    <w:rsid w:val="008F477F"/>
    <w:rsid w:val="008F69A1"/>
    <w:rsid w:val="00902350"/>
    <w:rsid w:val="00902BC8"/>
    <w:rsid w:val="0090336B"/>
    <w:rsid w:val="009053AA"/>
    <w:rsid w:val="00906939"/>
    <w:rsid w:val="00907422"/>
    <w:rsid w:val="00910B7D"/>
    <w:rsid w:val="00911DFB"/>
    <w:rsid w:val="009139D9"/>
    <w:rsid w:val="00914AD8"/>
    <w:rsid w:val="00916079"/>
    <w:rsid w:val="00917CE9"/>
    <w:rsid w:val="00920BF2"/>
    <w:rsid w:val="00922010"/>
    <w:rsid w:val="00925643"/>
    <w:rsid w:val="00931BD9"/>
    <w:rsid w:val="009368F3"/>
    <w:rsid w:val="00941636"/>
    <w:rsid w:val="00943742"/>
    <w:rsid w:val="00945C05"/>
    <w:rsid w:val="00946945"/>
    <w:rsid w:val="00947713"/>
    <w:rsid w:val="00950DE7"/>
    <w:rsid w:val="00953920"/>
    <w:rsid w:val="00953D47"/>
    <w:rsid w:val="00955437"/>
    <w:rsid w:val="0095681E"/>
    <w:rsid w:val="009568BC"/>
    <w:rsid w:val="009572D4"/>
    <w:rsid w:val="00961921"/>
    <w:rsid w:val="0096430A"/>
    <w:rsid w:val="0096554B"/>
    <w:rsid w:val="0096584A"/>
    <w:rsid w:val="00971793"/>
    <w:rsid w:val="00971F08"/>
    <w:rsid w:val="0097410B"/>
    <w:rsid w:val="0097603D"/>
    <w:rsid w:val="009760FC"/>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380"/>
    <w:rsid w:val="009E068F"/>
    <w:rsid w:val="009E14E0"/>
    <w:rsid w:val="009E35DB"/>
    <w:rsid w:val="009E434B"/>
    <w:rsid w:val="009E47A3"/>
    <w:rsid w:val="009F08F3"/>
    <w:rsid w:val="009F344F"/>
    <w:rsid w:val="00A031D8"/>
    <w:rsid w:val="00A048A8"/>
    <w:rsid w:val="00A04F49"/>
    <w:rsid w:val="00A105A6"/>
    <w:rsid w:val="00A127CE"/>
    <w:rsid w:val="00A13E54"/>
    <w:rsid w:val="00A17F63"/>
    <w:rsid w:val="00A20FF2"/>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76"/>
    <w:rsid w:val="00A71B99"/>
    <w:rsid w:val="00A739D0"/>
    <w:rsid w:val="00A761D4"/>
    <w:rsid w:val="00A77EC4"/>
    <w:rsid w:val="00A83892"/>
    <w:rsid w:val="00A92879"/>
    <w:rsid w:val="00A9442A"/>
    <w:rsid w:val="00AA016F"/>
    <w:rsid w:val="00AA1ED6"/>
    <w:rsid w:val="00AA51D6"/>
    <w:rsid w:val="00AB0BC8"/>
    <w:rsid w:val="00AB11CA"/>
    <w:rsid w:val="00AB14D9"/>
    <w:rsid w:val="00AB4AB8"/>
    <w:rsid w:val="00AB655E"/>
    <w:rsid w:val="00AC007F"/>
    <w:rsid w:val="00AC17A1"/>
    <w:rsid w:val="00AC2ECD"/>
    <w:rsid w:val="00AC3119"/>
    <w:rsid w:val="00AC49FB"/>
    <w:rsid w:val="00AC5A10"/>
    <w:rsid w:val="00AD0AA3"/>
    <w:rsid w:val="00AD3F94"/>
    <w:rsid w:val="00AD4A5A"/>
    <w:rsid w:val="00AE27AC"/>
    <w:rsid w:val="00AE40E0"/>
    <w:rsid w:val="00AE4DBA"/>
    <w:rsid w:val="00AE4F07"/>
    <w:rsid w:val="00AE5A43"/>
    <w:rsid w:val="00AF1C5D"/>
    <w:rsid w:val="00AF42D7"/>
    <w:rsid w:val="00B006FE"/>
    <w:rsid w:val="00B007CB"/>
    <w:rsid w:val="00B0107A"/>
    <w:rsid w:val="00B02AA9"/>
    <w:rsid w:val="00B02FA3"/>
    <w:rsid w:val="00B05084"/>
    <w:rsid w:val="00B05BC7"/>
    <w:rsid w:val="00B157F9"/>
    <w:rsid w:val="00B20256"/>
    <w:rsid w:val="00B20B52"/>
    <w:rsid w:val="00B20D09"/>
    <w:rsid w:val="00B2763F"/>
    <w:rsid w:val="00B27AAC"/>
    <w:rsid w:val="00B30929"/>
    <w:rsid w:val="00B34B47"/>
    <w:rsid w:val="00B372AA"/>
    <w:rsid w:val="00B40445"/>
    <w:rsid w:val="00B409E0"/>
    <w:rsid w:val="00B41888"/>
    <w:rsid w:val="00B45A52"/>
    <w:rsid w:val="00B46175"/>
    <w:rsid w:val="00B463F7"/>
    <w:rsid w:val="00B4663E"/>
    <w:rsid w:val="00B548B7"/>
    <w:rsid w:val="00B664C7"/>
    <w:rsid w:val="00B739F6"/>
    <w:rsid w:val="00B7438B"/>
    <w:rsid w:val="00B777A8"/>
    <w:rsid w:val="00B81A6C"/>
    <w:rsid w:val="00B84493"/>
    <w:rsid w:val="00B85DE5"/>
    <w:rsid w:val="00B90F73"/>
    <w:rsid w:val="00B93B59"/>
    <w:rsid w:val="00B9406A"/>
    <w:rsid w:val="00BA2280"/>
    <w:rsid w:val="00BA2A08"/>
    <w:rsid w:val="00BA56D2"/>
    <w:rsid w:val="00BA76E0"/>
    <w:rsid w:val="00BB1118"/>
    <w:rsid w:val="00BB2A25"/>
    <w:rsid w:val="00BB51E9"/>
    <w:rsid w:val="00BC0FDC"/>
    <w:rsid w:val="00BC3053"/>
    <w:rsid w:val="00BC4D2E"/>
    <w:rsid w:val="00BD0B5A"/>
    <w:rsid w:val="00BD48AC"/>
    <w:rsid w:val="00BD5F1A"/>
    <w:rsid w:val="00BE0951"/>
    <w:rsid w:val="00BE1234"/>
    <w:rsid w:val="00BE2FA6"/>
    <w:rsid w:val="00BE3234"/>
    <w:rsid w:val="00BE333F"/>
    <w:rsid w:val="00BE7406"/>
    <w:rsid w:val="00BE7603"/>
    <w:rsid w:val="00BF05C9"/>
    <w:rsid w:val="00BF3279"/>
    <w:rsid w:val="00BF32C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690"/>
    <w:rsid w:val="00C3719D"/>
    <w:rsid w:val="00C37CB2"/>
    <w:rsid w:val="00C461B2"/>
    <w:rsid w:val="00C46E6D"/>
    <w:rsid w:val="00C473A5"/>
    <w:rsid w:val="00C47DB7"/>
    <w:rsid w:val="00C54995"/>
    <w:rsid w:val="00C54D41"/>
    <w:rsid w:val="00C60783"/>
    <w:rsid w:val="00C63AD4"/>
    <w:rsid w:val="00C64672"/>
    <w:rsid w:val="00C65924"/>
    <w:rsid w:val="00C70697"/>
    <w:rsid w:val="00C72093"/>
    <w:rsid w:val="00C72EF4"/>
    <w:rsid w:val="00C744FE"/>
    <w:rsid w:val="00C75D2F"/>
    <w:rsid w:val="00C767BE"/>
    <w:rsid w:val="00C76E3C"/>
    <w:rsid w:val="00C81568"/>
    <w:rsid w:val="00C86EE5"/>
    <w:rsid w:val="00C9027A"/>
    <w:rsid w:val="00C9068E"/>
    <w:rsid w:val="00C93814"/>
    <w:rsid w:val="00C93C4B"/>
    <w:rsid w:val="00C944AB"/>
    <w:rsid w:val="00C95B40"/>
    <w:rsid w:val="00CA1ED8"/>
    <w:rsid w:val="00CB1F63"/>
    <w:rsid w:val="00CB7170"/>
    <w:rsid w:val="00CC040E"/>
    <w:rsid w:val="00CC111F"/>
    <w:rsid w:val="00CC2011"/>
    <w:rsid w:val="00CC3576"/>
    <w:rsid w:val="00CC3EA0"/>
    <w:rsid w:val="00CC7B45"/>
    <w:rsid w:val="00CD1188"/>
    <w:rsid w:val="00CD2ED1"/>
    <w:rsid w:val="00CD337B"/>
    <w:rsid w:val="00CD34C6"/>
    <w:rsid w:val="00CE0424"/>
    <w:rsid w:val="00CE7561"/>
    <w:rsid w:val="00CF1354"/>
    <w:rsid w:val="00CF3B1F"/>
    <w:rsid w:val="00CF3BF6"/>
    <w:rsid w:val="00CF625B"/>
    <w:rsid w:val="00CF687E"/>
    <w:rsid w:val="00D0349B"/>
    <w:rsid w:val="00D10249"/>
    <w:rsid w:val="00D115C3"/>
    <w:rsid w:val="00D11897"/>
    <w:rsid w:val="00D13135"/>
    <w:rsid w:val="00D13E4E"/>
    <w:rsid w:val="00D22663"/>
    <w:rsid w:val="00D239A7"/>
    <w:rsid w:val="00D23F47"/>
    <w:rsid w:val="00D36E71"/>
    <w:rsid w:val="00D37D87"/>
    <w:rsid w:val="00D40B33"/>
    <w:rsid w:val="00D4318F"/>
    <w:rsid w:val="00D431B8"/>
    <w:rsid w:val="00D438BF"/>
    <w:rsid w:val="00D440F8"/>
    <w:rsid w:val="00D46231"/>
    <w:rsid w:val="00D546FF"/>
    <w:rsid w:val="00D55AD5"/>
    <w:rsid w:val="00D576CA"/>
    <w:rsid w:val="00D61AF5"/>
    <w:rsid w:val="00D64856"/>
    <w:rsid w:val="00D652B5"/>
    <w:rsid w:val="00D66155"/>
    <w:rsid w:val="00D708B0"/>
    <w:rsid w:val="00D71C79"/>
    <w:rsid w:val="00D77B1D"/>
    <w:rsid w:val="00D8021F"/>
    <w:rsid w:val="00D80383"/>
    <w:rsid w:val="00D823C6"/>
    <w:rsid w:val="00D8327F"/>
    <w:rsid w:val="00D86CA3"/>
    <w:rsid w:val="00D871CE"/>
    <w:rsid w:val="00D9196D"/>
    <w:rsid w:val="00D92982"/>
    <w:rsid w:val="00D939C6"/>
    <w:rsid w:val="00DA305E"/>
    <w:rsid w:val="00DA5417"/>
    <w:rsid w:val="00DA56E8"/>
    <w:rsid w:val="00DB09F6"/>
    <w:rsid w:val="00DB0A9F"/>
    <w:rsid w:val="00DB377D"/>
    <w:rsid w:val="00DC0E73"/>
    <w:rsid w:val="00DC1AE3"/>
    <w:rsid w:val="00DC2D36"/>
    <w:rsid w:val="00DC53EF"/>
    <w:rsid w:val="00DE5608"/>
    <w:rsid w:val="00DE58D0"/>
    <w:rsid w:val="00DE654F"/>
    <w:rsid w:val="00DE6F35"/>
    <w:rsid w:val="00DF0B6E"/>
    <w:rsid w:val="00DF15E0"/>
    <w:rsid w:val="00DF37A0"/>
    <w:rsid w:val="00E110E7"/>
    <w:rsid w:val="00E11B20"/>
    <w:rsid w:val="00E16290"/>
    <w:rsid w:val="00E17FA2"/>
    <w:rsid w:val="00E20E94"/>
    <w:rsid w:val="00E22330"/>
    <w:rsid w:val="00E30B5A"/>
    <w:rsid w:val="00E3123D"/>
    <w:rsid w:val="00E31461"/>
    <w:rsid w:val="00E31D43"/>
    <w:rsid w:val="00E32608"/>
    <w:rsid w:val="00E32EA9"/>
    <w:rsid w:val="00E34188"/>
    <w:rsid w:val="00E34B6E"/>
    <w:rsid w:val="00E35559"/>
    <w:rsid w:val="00E3723A"/>
    <w:rsid w:val="00E37860"/>
    <w:rsid w:val="00E446F1"/>
    <w:rsid w:val="00E46886"/>
    <w:rsid w:val="00E46E3F"/>
    <w:rsid w:val="00E47AEF"/>
    <w:rsid w:val="00E53B75"/>
    <w:rsid w:val="00E54E3B"/>
    <w:rsid w:val="00E57565"/>
    <w:rsid w:val="00E63838"/>
    <w:rsid w:val="00E64434"/>
    <w:rsid w:val="00E64B43"/>
    <w:rsid w:val="00E67C51"/>
    <w:rsid w:val="00E72EFC"/>
    <w:rsid w:val="00E758EC"/>
    <w:rsid w:val="00E811AE"/>
    <w:rsid w:val="00E8234C"/>
    <w:rsid w:val="00E83AA9"/>
    <w:rsid w:val="00E85928"/>
    <w:rsid w:val="00E87822"/>
    <w:rsid w:val="00E90395"/>
    <w:rsid w:val="00E90E49"/>
    <w:rsid w:val="00E917F9"/>
    <w:rsid w:val="00E9291C"/>
    <w:rsid w:val="00E93FFE"/>
    <w:rsid w:val="00E94F8A"/>
    <w:rsid w:val="00EA7A41"/>
    <w:rsid w:val="00EB077B"/>
    <w:rsid w:val="00EB4EA2"/>
    <w:rsid w:val="00EB69D5"/>
    <w:rsid w:val="00EC24D5"/>
    <w:rsid w:val="00EC27C6"/>
    <w:rsid w:val="00EC2BC1"/>
    <w:rsid w:val="00EC4207"/>
    <w:rsid w:val="00EC4BDB"/>
    <w:rsid w:val="00EC5653"/>
    <w:rsid w:val="00EC71CE"/>
    <w:rsid w:val="00EC7B3F"/>
    <w:rsid w:val="00ED1006"/>
    <w:rsid w:val="00ED134F"/>
    <w:rsid w:val="00ED5BA0"/>
    <w:rsid w:val="00EF18FE"/>
    <w:rsid w:val="00EF454E"/>
    <w:rsid w:val="00EF5787"/>
    <w:rsid w:val="00EF60D0"/>
    <w:rsid w:val="00F0528D"/>
    <w:rsid w:val="00F06C67"/>
    <w:rsid w:val="00F06DC2"/>
    <w:rsid w:val="00F06DFD"/>
    <w:rsid w:val="00F071D1"/>
    <w:rsid w:val="00F07533"/>
    <w:rsid w:val="00F10629"/>
    <w:rsid w:val="00F12B1D"/>
    <w:rsid w:val="00F15FA5"/>
    <w:rsid w:val="00F209B7"/>
    <w:rsid w:val="00F2376F"/>
    <w:rsid w:val="00F243D8"/>
    <w:rsid w:val="00F30828"/>
    <w:rsid w:val="00F313D6"/>
    <w:rsid w:val="00F3793A"/>
    <w:rsid w:val="00F40F0C"/>
    <w:rsid w:val="00F41398"/>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3DB"/>
    <w:rsid w:val="00F93AA9"/>
    <w:rsid w:val="00F9593A"/>
    <w:rsid w:val="00F96985"/>
    <w:rsid w:val="00F97838"/>
    <w:rsid w:val="00FA2BB3"/>
    <w:rsid w:val="00FA3255"/>
    <w:rsid w:val="00FB4C80"/>
    <w:rsid w:val="00FB6A6A"/>
    <w:rsid w:val="00FB744D"/>
    <w:rsid w:val="00FC26D7"/>
    <w:rsid w:val="00FC7429"/>
    <w:rsid w:val="00FC755E"/>
    <w:rsid w:val="00FD07F6"/>
    <w:rsid w:val="00FD1EC8"/>
    <w:rsid w:val="00FD47ED"/>
    <w:rsid w:val="00FD4F3E"/>
    <w:rsid w:val="00FD74DB"/>
    <w:rsid w:val="00FD7660"/>
    <w:rsid w:val="00FE0655"/>
    <w:rsid w:val="00FE2365"/>
    <w:rsid w:val="00FE37D7"/>
    <w:rsid w:val="00FE4B1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658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6D5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rFonts w:ascii="Arial" w:hAnsi="Arial"/>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rsid w:val="006D51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rFonts w:ascii="Arial" w:hAnsi="Arial"/>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rFonts w:ascii="Arial" w:hAnsi="Arial"/>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ascii="Arial" w:eastAsia="MS Mincho" w:hAnsi="Arial"/>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aliases w:val="Head2A Char,2 Char,H2 Char1,UNDERRUBRIK 1-2 Char,DO NOT USE_h2 Char,h2 Char1,h21 Char,H2 Char Char,h2 Char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rFonts w:ascii="Arial" w:hAnsi="Arial"/>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rPr>
      <w:rFonts w:ascii="Arial" w:hAnsi="Arial"/>
    </w:rPr>
  </w:style>
  <w:style w:type="paragraph" w:styleId="ListContinue2">
    <w:name w:val="List Continue 2"/>
    <w:basedOn w:val="Normal"/>
    <w:rsid w:val="006D5189"/>
    <w:pPr>
      <w:spacing w:after="120"/>
      <w:ind w:left="566"/>
      <w:contextualSpacing/>
    </w:pPr>
    <w:rPr>
      <w:rFonts w:ascii="Arial" w:hAnsi="Arial"/>
    </w:r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9734">
      <w:bodyDiv w:val="1"/>
      <w:marLeft w:val="0"/>
      <w:marRight w:val="0"/>
      <w:marTop w:val="0"/>
      <w:marBottom w:val="0"/>
      <w:divBdr>
        <w:top w:val="none" w:sz="0" w:space="0" w:color="auto"/>
        <w:left w:val="none" w:sz="0" w:space="0" w:color="auto"/>
        <w:bottom w:val="none" w:sz="0" w:space="0" w:color="auto"/>
        <w:right w:val="none" w:sz="0" w:space="0" w:color="auto"/>
      </w:divBdr>
    </w:div>
    <w:div w:id="79856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5NUHHDQN7SK2-1476151046-40841</_dlc_DocId>
    <_dlc_DocIdUrl xmlns="f166a696-7b5b-4ccd-9f0c-ffde0cceec81">
      <Url>https://ericsson.sharepoint.com/sites/star/_layouts/15/DocIdRedir.aspx?ID=5NUHHDQN7SK2-1476151046-40841</Url>
      <Description>5NUHHDQN7SK2-1476151046-40841</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A8386-D302-4992-9E7C-BC8C5F68F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7400B8-ADDE-417F-A377-47D0D0972ED1}">
  <ds:schemaRefs>
    <ds:schemaRef ds:uri="Microsoft.SharePoint.Taxonomy.ContentTypeSync"/>
  </ds:schemaRefs>
</ds:datastoreItem>
</file>

<file path=customXml/itemProps3.xml><?xml version="1.0" encoding="utf-8"?>
<ds:datastoreItem xmlns:ds="http://schemas.openxmlformats.org/officeDocument/2006/customXml" ds:itemID="{C0465EA1-F8A4-4B50-8F9D-101F3C3FC21E}">
  <ds:schemaRefs>
    <ds:schemaRef ds:uri="http://schemas.microsoft.com/sharepoint/events"/>
  </ds:schemaRefs>
</ds:datastoreItem>
</file>

<file path=customXml/itemProps4.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5.xml><?xml version="1.0" encoding="utf-8"?>
<ds:datastoreItem xmlns:ds="http://schemas.openxmlformats.org/officeDocument/2006/customXml" ds:itemID="{CE285EBD-410E-4925-BC11-4A0354D8C210}">
  <ds:schemaRefs>
    <ds:schemaRef ds:uri="http://purl.org/dc/terms/"/>
    <ds:schemaRef ds:uri="http://purl.org/dc/dcmitype/"/>
    <ds:schemaRef ds:uri="http://schemas.microsoft.com/office/2006/metadata/properties"/>
    <ds:schemaRef ds:uri="http://schemas.openxmlformats.org/package/2006/metadata/core-properties"/>
    <ds:schemaRef ds:uri="http://www.w3.org/XML/1998/namespace"/>
    <ds:schemaRef ds:uri="http://purl.org/dc/elements/1.1/"/>
    <ds:schemaRef ds:uri="611109f9-ed58-4498-a270-1fb2086a5321"/>
    <ds:schemaRef ds:uri="f166a696-7b5b-4ccd-9f0c-ffde0cceec81"/>
    <ds:schemaRef ds:uri="http://schemas.microsoft.com/office/2006/documentManagement/types"/>
    <ds:schemaRef ds:uri="http://schemas.microsoft.com/office/infopath/2007/PartnerControls"/>
    <ds:schemaRef ds:uri="http://schemas.microsoft.com/sharepoint/v4"/>
    <ds:schemaRef ds:uri="d8762117-8292-4133-b1c7-eab5c6487cfd"/>
  </ds:schemaRefs>
</ds:datastoreItem>
</file>

<file path=customXml/itemProps6.xml><?xml version="1.0" encoding="utf-8"?>
<ds:datastoreItem xmlns:ds="http://schemas.openxmlformats.org/officeDocument/2006/customXml" ds:itemID="{11BD7149-3068-43BB-8274-14A829A9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365</TotalTime>
  <Pages>3</Pages>
  <Words>1187</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Robert S Karlsson</cp:lastModifiedBy>
  <cp:revision>102</cp:revision>
  <cp:lastPrinted>2008-01-31T07:09:00Z</cp:lastPrinted>
  <dcterms:created xsi:type="dcterms:W3CDTF">2019-01-15T08:18:00Z</dcterms:created>
  <dcterms:modified xsi:type="dcterms:W3CDTF">2019-02-15T00:13:00Z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6bc9f6d3-933d-4e35-8da3-c88bba2de531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191</vt:lpwstr>
  </property>
  <property fmtid="{D5CDD505-2E9C-101B-9397-08002B2CF9AE}" pid="15" name="AuthorIds_UIVersion_1536">
    <vt:lpwstr>236</vt:lpwstr>
  </property>
  <property fmtid="{D5CDD505-2E9C-101B-9397-08002B2CF9AE}" pid="16" name="AuthorIds_UIVersion_2560">
    <vt:lpwstr>357</vt:lpwstr>
  </property>
  <property fmtid="{D5CDD505-2E9C-101B-9397-08002B2CF9AE}" pid="17" name="AuthorIds_UIVersion_3072">
    <vt:lpwstr>201</vt:lpwstr>
  </property>
  <property fmtid="{D5CDD505-2E9C-101B-9397-08002B2CF9AE}" pid="18" name="AuthorIds_UIVersion_4608">
    <vt:lpwstr>270</vt:lpwstr>
  </property>
  <property fmtid="{D5CDD505-2E9C-101B-9397-08002B2CF9AE}" pid="20" name="AuthorIds_UIVersion_6144">
    <vt:lpwstr>270</vt:lpwstr>
  </property>
</Properties>
</file>